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</w:t>
      </w:r>
      <w:bookmarkStart w:id="20" w:name="_GoBack"/>
      <w:bookmarkEnd w:id="2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概述：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根据黑龙江乌苏里江制药有限公司哈尔滨分公司新项目要求，拟购置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机1台，项目要求该设备需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da-DK" w:eastAsia="zh-CN" w:bidi="ar"/>
        </w:rPr>
        <w:t>符合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新版GMP的要求，满足生产使用及工艺需求。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此文件将作为设备进行竞争性招标的基础标准。主要包括用户对该设备的质量要求（GMP）、功能要求、结构配置要求、系统控制及安全要求，并符合相关法规的具体需求及期望。设备生产商应在满足本需求的前提下，提供更高标准、更高质量、更加完善的设备以及相关服务。同时必须指出该标准与实际标准的不符之处，及可接受的质量标准。共同完成对该设备总体要求及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供方负责供货、安装及设备调试运行至验收合格，以及设备操作人员的培训至熟练操作。需方负责提供系统运行所需要的公用工程（水、电、气、汽等）。供方提供相关技术资料（设计依据、使用说明、产品合格证、材质证明、验证文件、外购件资料等）。</w:t>
      </w:r>
    </w:p>
    <w:tbl>
      <w:tblPr>
        <w:tblStyle w:val="1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41"/>
        <w:gridCol w:w="1701"/>
        <w:gridCol w:w="1796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高效湿法混合制粒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容积100L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SUS304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二、招标内容：</w:t>
      </w:r>
    </w:p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0" w:name="_Toc251133755"/>
      <w:bookmarkStart w:id="1" w:name="_Toc251134217"/>
      <w:bookmarkStart w:id="2" w:name="_Toc252547858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设备标准</w:t>
      </w:r>
      <w:bookmarkEnd w:id="0"/>
      <w:bookmarkEnd w:id="1"/>
      <w:bookmarkEnd w:id="2"/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/>
        </w:rPr>
      </w:pPr>
      <w:bookmarkStart w:id="3" w:name="_Toc251134220"/>
      <w:bookmarkStart w:id="4" w:name="_Toc251133758"/>
      <w:bookmarkStart w:id="5" w:name="_Toc251134221"/>
      <w:bookmarkStart w:id="6" w:name="_Toc251133759"/>
      <w:bookmarkStart w:id="7" w:name="_Toc252547859"/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除本URS特殊要求外，须满足中国GMP (2010年修订)和行业相关法规要求，中国安全环保法规。必须符合以下标准、规范及其他相关行业标准（但不限于此，有新版本的按最新版本执行）：</w:t>
      </w:r>
    </w:p>
    <w:bookmarkEnd w:id="3"/>
    <w:bookmarkEnd w:id="4"/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="Arial" w:hAnsi="Arial" w:eastAsia="楷体_GB2312" w:cs="Arial"/>
          <w:sz w:val="24"/>
          <w:szCs w:val="24"/>
        </w:rPr>
        <w:t>J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B20015－2004 《湿法混合制粒机》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GB-52261-2002 机械安全机械电气设备第一部分通用技术条件 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 xml:space="preserve">GB-8196-87 机械设计防护罩安全要求  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GB-12265-90 机械防护安全要求</w:t>
      </w:r>
    </w:p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一般描述</w:t>
      </w:r>
      <w:bookmarkEnd w:id="5"/>
      <w:bookmarkEnd w:id="6"/>
      <w:bookmarkEnd w:id="7"/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bookmarkStart w:id="8" w:name="_Toc251134222"/>
      <w:bookmarkStart w:id="9" w:name="_Toc251133760"/>
      <w:bookmarkStart w:id="10" w:name="_Toc252547860"/>
      <w:r>
        <w:rPr>
          <w:rFonts w:hint="eastAsia"/>
          <w:color w:val="000000"/>
          <w:sz w:val="24"/>
        </w:rPr>
        <w:t>将几种主粉状物料加入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高效湿法混合制粒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机</w:t>
      </w:r>
      <w:r>
        <w:rPr>
          <w:rFonts w:hint="eastAsia"/>
          <w:color w:val="000000"/>
          <w:sz w:val="24"/>
        </w:rPr>
        <w:t>后，经过混合到均匀后通过设备辅机加入辅料，通过设备的混合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</w:rPr>
        <w:t>剪切制成潮湿颗粒后排出设备料仓。</w:t>
      </w:r>
    </w:p>
    <w:bookmarkEnd w:id="8"/>
    <w:bookmarkEnd w:id="9"/>
    <w:bookmarkEnd w:id="10"/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1" w:name="_Toc252547861"/>
      <w:bookmarkStart w:id="12" w:name="_Toc251133761"/>
      <w:bookmarkStart w:id="13" w:name="_Toc251134223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用户及系统要求</w:t>
      </w:r>
      <w:bookmarkEnd w:id="11"/>
      <w:bookmarkEnd w:id="12"/>
      <w:bookmarkEnd w:id="13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p>
      <w:pPr>
        <w:pStyle w:val="2"/>
        <w:numPr>
          <w:ilvl w:val="1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4" w:name="_Toc251133762"/>
      <w:bookmarkStart w:id="15" w:name="_Toc252547862"/>
      <w:bookmarkStart w:id="16" w:name="_Toc251134224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概述</w:t>
      </w:r>
      <w:bookmarkEnd w:id="14"/>
      <w:bookmarkEnd w:id="15"/>
      <w:bookmarkEnd w:id="16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tbl>
      <w:tblPr>
        <w:tblStyle w:val="13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78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8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缩  写</w:t>
            </w:r>
          </w:p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Abbreviation</w:t>
            </w:r>
          </w:p>
        </w:tc>
        <w:tc>
          <w:tcPr>
            <w:tcW w:w="7831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定  义</w:t>
            </w:r>
          </w:p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Definition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FAT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Factory Acceptance Test出厂验收测试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GAMP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Automated Manufacturing Practices良好的自动生产规范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GMP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Manufacturing Practices药品生产质量管理规范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Design Qualification设计确认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Installation Qualification安装确认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Operational Qualification运行确认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Performance Qualification性能确认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CV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Computer Validation计算机系统确认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QA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Quality Assurance质量保证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P&amp;ID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Process and Instrument Diagram.工艺流程图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PLC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Programmable Logic Controller可编程逻辑控制器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SAT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Site Acceptance Test现场验收测试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SOP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Standard Operating Procedures标准操作规程</w:t>
            </w:r>
          </w:p>
        </w:tc>
      </w:tr>
    </w:tbl>
    <w:p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需求标准</w:t>
      </w:r>
    </w:p>
    <w:p>
      <w:pPr>
        <w:pStyle w:val="4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  <w:t>设备应符合以下规定，但并不限于以下内容，制造商可根据自身企业特点给出更合理的优化建议。</w:t>
      </w:r>
    </w:p>
    <w:p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.1 生产能力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936"/>
        <w:gridCol w:w="1350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10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93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设备能力产能不低于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Kg/批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视原粉比重而定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料仓容积≥100L（有效容积是：料仓容积</w:t>
            </w:r>
            <w:r>
              <w:rPr>
                <w:rFonts w:hint="eastAsia" w:asciiTheme="minorEastAsia" w:hAnsi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0%-80%）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  <w:t>混合速度20-120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rpm可调；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eastAsia" w:asciiTheme="minorEastAsia" w:hAnsiTheme="minorEastAsia" w:eastAsiaTheme="minorEastAsia" w:cstheme="minorEastAsia"/>
                <w:cap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切割速度1000～2000rpm可调；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1021"/>
                <w:tab w:val="left" w:pos="848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16" w:leftChars="0" w:right="142" w:rightChars="0" w:hanging="16" w:hangingChars="8"/>
              <w:jc w:val="left"/>
              <w:rPr>
                <w:rFonts w:hint="default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该设备加浆可以通过料斗人工加浆</w:t>
            </w:r>
            <w:r>
              <w:rPr>
                <w:rFonts w:hint="eastAsia" w:asciiTheme="minorEastAsia" w:hAnsiTheme="minorEastAsia" w:cstheme="minorEastAsia"/>
                <w:b w:val="0"/>
                <w:color w:val="auto"/>
                <w:sz w:val="21"/>
                <w:szCs w:val="21"/>
                <w:lang w:val="en-US" w:eastAsia="zh-CN"/>
              </w:rPr>
              <w:t>；（压力罐加浆接口预留，后期选装，所需备件清单列出）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.2</w:t>
      </w:r>
      <w:bookmarkStart w:id="17" w:name="_Toc183509266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工艺性能</w:t>
      </w:r>
      <w:bookmarkEnd w:id="17"/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792"/>
        <w:gridCol w:w="1305"/>
        <w:gridCol w:w="12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79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8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pStyle w:val="25"/>
              <w:spacing w:before="0" w:after="0"/>
              <w:jc w:val="both"/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eastAsia="zh-CN"/>
              </w:rPr>
              <w:t>混合物料：XX目；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pStyle w:val="25"/>
              <w:spacing w:before="0" w:after="0"/>
              <w:jc w:val="both"/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aps/>
                <w:kern w:val="2"/>
                <w:sz w:val="21"/>
                <w:szCs w:val="21"/>
                <w:lang w:eastAsia="zh-CN"/>
              </w:rPr>
              <w:t>粉体密度：X；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盖好后，密封好，工作时不得漏粉尘。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打开时，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内壁上沾附的物料不得掉落于料缸外。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提供符合要求的切刀，可拆卸，便于更换和维护。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制粒刀轴密封采用机械密封和气封方式，气封与切刀的动作进行联锁，即没有气体或者气压不够时，切刀不能转动。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制粒刀轴密封处可进行在线清洗。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主搅拌桨可拆卸，便于维护。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主搅拌桨的结构设计必须考虑到物料不会堆积在锅底和死角。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主搅拌桨轴密封处可进行在线清洗。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主搅拌桨桨叶距离锅底间距在0.5~1.5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，确保不能在锅底形成一层膜。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主搅拌桨桨叶距离锅侧面的间隙距离设置合理，在2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mm</w:t>
            </w: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以内，不能在侧面形成一层膜，影响制粒的效果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在出料模式时，可以调整搅拌桨转速，进行出料。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主搅拌桨密封采用机械密封和气封方式，气封与主搅拌桨的动作进行联锁，即没有气体或者气压不够时，主搅拌桨不能转动。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出料阀开度通过气缸控制。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出料阀安装在锅的侧面靠近底部，此系统必须保证在每批生产结束后，锅内少于1% 的残留。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所有设备、备品备件、专用工具必须是新的未曾用过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针对设备，提供一套设备维修专用工具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与产品接触或间接接触的压缩空气应为洁净压缩空气。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连接楼梯与机身，上表面焊接冲压花纹不锈钢板，外表用304不锈钢板外罩封闭，悬空侧用304不锈钢圆管扶手，保证安全。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悬空部位设护栏，应采用304不锈钢圆管焊接，抛光制造，结构为立柱加横档结构，使用安全；立柱用螺钉固定在机身台板面上，拐角处采用快装卡箍连接，拆卸方便。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用于密封的部件应该易于更换和重新安装。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具有终点判定功能。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搅拌轴的设计应能承受不同方向的受力，确保搅拌桨工作时不与缸底刮擦。搅拌桨与缸底间隙均匀小于2mm。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制粒机缸体内不得有搅拌桨和制粒刀转轴支承体的油污渗入。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搅拌桨和切碎刀采用气动密封技术，防止制粒过程中物料粉尘进入轴根部位，并具备气水装换功能。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切刀采用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多把叠放形式，可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变频调速。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搅拌桨和切碎刀，防止搅拌桨和切碎刀高速旋转时对轴根密封部件的损坏。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搅拌桨采用后仰角设计，使物料在缸体内形成螺旋状流动状态。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通过人机界面设定控制。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湿法制粒粒机应采用变频调速。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设备应有三级权限功能。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控制电机应采用国际/国内优质品牌。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整机设备应运行平稳。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转动部位要经过动平衡检测。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设备配备开关盖的限位开关。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设备与产品接触部分选用304不锈钢材质。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内壁抛光，粗糙度Ra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0.8μm；所有拐角圆弧过渡（R≥10mm）或采用不低于135度倒角过渡。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搅拌桨和锅壁的设计应避免物料制粒时粘附锅壁和锅盖。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搅拌桨应采用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不锈钢制作，外表面抛光Ra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 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0.8μm。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出料门内壁与料缸内腔吻合，使料缸内腔无死角，易于清洗，物料能够全部排尽。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出料门上盖必须设置相应的安全措施，以确保操作者的安全，如安装接近开关，只有在上盖关闭后设备才能运行；装有机械阀，上盖打开后自动切断出料门，开合气缸气源，防止气缸误操作。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应设置助力系统，降低开盖力，以减轻操作者劳动强度，顶盖开启方式为垂直开启方式，采用良好的密封方式。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上方应配置与进料口，呼吸器，粘合剂喷浆口（在位清洗口）（选项），视镜（带刮板）。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设备在位清洗功能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预留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，清洗球位置及数量合理，应能保证湿法混合制粒机所有部位得到有效的清洗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后期选装，所需备件清单需列出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设备与压缩空气、饮用水、热水和纯化水管路系统的连接接头使用快拆（装）接头。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设备外表面及与物料接触金属材质采用304不锈钢，其余部分采用符合要求的其它材料制成，并提供相关材质证明。且其内表面与物料接触部分光洁度应Ra≤0.4μm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设备支架表面必须耐腐蚀易清洁，外表面进行喷砂处理。设备外罩金属部分采用304不锈钢制造。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所有接触的焊接口进行抛光处理。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.3 控制要求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50"/>
        <w:gridCol w:w="11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6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采用PLC+触摸屏自动控制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具有自动控制和手动控制两种方式。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it-IT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出料门开度可调。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搅拌桨转速、出料门开度、联锁控制，确保顺畅出料。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制粒刀采用变频调速控制，并能显示转速。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主搅拌桨采用变频调速控制，并能显示转速。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.4 设备配置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52"/>
        <w:gridCol w:w="1335"/>
        <w:gridCol w:w="11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设备实体：厂家标配。电器部件：厂家标配。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采用西门子或同等品牌PLC，工业PC、触摸屏、交流接触器、变频器。电器元件采用西门子或同等国际品牌。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采用PLC+人机界面控制，集成在控制箱中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人机操作界面采用触摸屏，画面清晰，操作便捷，内置自动、手动可切换控制模式。自动控制模式下，设备能够按照设定的程序自动完成物料混合、加浆、制粒、出料作业，无需操作人员干预。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设备应便于清洁、清洁无死角。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任何与物料接触的部位所用垫圈，密封圈和O形圈只能用药用级聚合材料，例如聚四氟乙烯或硅橡胶。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所有线缆均有标号并有连接线路图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低压接线（24VDC和通讯/信号线路）应与控制盒中的控制电压和较高的电压隔离开。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湿法混合制粒机料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锅体上仓盖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与限位开关互锁；出料口盖板与限位开关互锁。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湿法混合制粒机仓盖与搅拌桨及切碎刀互锁。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尺寸需确定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和机器顶部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周围安装防护栏，楼梯要有防滑措施。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可储存不少于20组不同物料的工艺参数，使用时直接调用即可。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搅拌桨、制粒刀转速显示准确度须在实际值的±2%内；混合时间、制粒时间显示应准确，满足计量器具要求，可以验证、校验。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可以输入生产信息，自动记录、保存、打印生产记录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带打印机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；可以显示、打印报警信息及提示信息。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所有的焊接口进行抛光处理。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与药品接触不锈钢件部件材质为304。设备外包304不锈钢。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设备与压缩空气、纯化水管路系统的连接接头使用快拆（装）接头。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传动系统传动转动灵活，无卡滞和异常响声，匀速转动。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抛光度Ra≤0.6μm。提供相关材质证明。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设备具备良好的静电接地功能和条件,确保设备产生的静电能够及时泄掉。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电气柜应有防尘、防湿、排热措施。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设备上使用的有可能与物料接触的润滑油，应为食品级，无毒性。使用的普通润滑油不能和产品或可能和产品接触的设备表面接触。供方需完成设备的首次润滑工作。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任何与产品直接接触的设备表面均不能有润滑油泄漏，特别是各运动部件。保证润滑过程无泄漏。不得对产品造成污染。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采用卫生级密封，有防止润滑油等污染罐内物料的措施。不得因密封失效导致容器内的物料受到污染。不得出现锈蚀脱落等情况。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bookmarkStart w:id="18" w:name="_Toc183509268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.5</w:t>
      </w:r>
      <w:bookmarkEnd w:id="18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 xml:space="preserve"> EHS要求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20"/>
        <w:gridCol w:w="11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设备部位任何不能有锋利的边缘和尖角，以防伤害操作者。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设备应有过载保护、漏电保护装置，当设备功能失调或者故障的情况下，必须配备必要的保护措施保证设备和产品仍然处于安全状态。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距离主机正面1.5m处，设备噪声小于78dB。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应该有防止对室内洁净区和室外环境造成污染的装置或措施。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设备危险可动零部件应装有防护罩。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有接地装置，电气系统的安全性能应符合相应的国家标准。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断电恢复供电后，机器不能自动开机，必须人工启动，以保护人员、设备和产品。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设备设置急停开关，且急停开关应设置在易于操作的位置；设备处于运行状态时，按下急停开关，设备立即停止运转；急停开关复位后，仅在进行复位和启动操作后，设备方可进入运行状态。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设备符合安全、环保要求，机组能够进行可靠的漏电接地和静电接地措施。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19" w:name="_Toc183509270"/>
          </w:p>
        </w:tc>
        <w:tc>
          <w:tcPr>
            <w:tcW w:w="6867" w:type="dxa"/>
            <w:noWrap w:val="0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设备功能失调或者故障的情况下，必须配备所有必要的保护措施保证操作人员、设备和产品仍然处于安全状态。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制粒缸顶盖的开启方式设有安全措施，防止操作人员误操作，伤害自己或他人。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紧急停车按钮应位于易于操作者接近的区域。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运转时距离设备1m远的噪音在75db以下。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设备任何部位不能有锋利的边缘和尖角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动力不能自动重启，必须人工操作。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ind w:right="42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电力要求：AC380V，3 相5线制，50 Hz。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.6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公用要求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22"/>
        <w:gridCol w:w="1335"/>
        <w:gridCol w:w="122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2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ind w:left="100" w:hanging="105" w:hangingChars="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设备设置在洁净区，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便于搬运安装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6"/>
              <w:spacing w:befor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设备周围应有足够的检修空间。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设备本身及对周围环境无任何污染和损坏。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供方需明确所需水、电、气等公用能源的要求。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设计图纸需甲方最终签字确认。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bookmarkEnd w:id="19"/>
    </w:tbl>
    <w:p>
      <w:pPr>
        <w:widowControl/>
        <w:spacing w:line="48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da-DK"/>
        </w:rPr>
        <w:t>.7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其他要求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59"/>
        <w:gridCol w:w="1320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9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AT要求：设备制造过程中质量进度关键控制点，必须通知使用方到制造厂进行验收，确认符合要求后方可继续下一道工序制造或组装。若使用方不能亲自到制造厂验收的，也要经使用方的允许方可继续下一道工序制造或组装；设备厂家编写设备的FAT文件，经使用方确认后，负责实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包装运输要求：包装满足运输和装卸要求，防潮湿、防磕碰、防振动；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运输实际包含在供货周期内，供方负责运输，承担运输费用；交货地点：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哈尔滨市平房区渤海路39号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；机器到货清单必须详列每装箱内容物。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安装调试要求：设备到货，拆箱时供应方必须陪同需方人员进行拆箱，如果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应方授权需方自行拆箱，拆箱后发现设备及所有附件有任何损坏、缺失，供应方应负全责。机器订购后供应商需负责到货运送，由需方负责搬运、吊装及 安装,安装期间供应商至少需有一人全程配合。设备到货我公司通知供应方来厂安装日期起，应在于10个自然日内完成安装并试车完毕。供应方进厂施工必须遵守需方的施工规则施工，以及遵守我公司的各项规章制度。本公司负责按照安装施工图纸上标识的公用系统需求安装到位，设备连接及内部系统均有供货厂家负责安装连接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FAT合格后，预付款到发货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运输时间包含在供货周期内，供方负责运输，并承担运输费用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需求方2人去FAT，供方提供食宿。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培训要求：供方负责对技术管理人员、操作人员、维修人员进行结构原理、性能、操作、维修、故障排除等知识的培训，使我方人员达到一定熟练程度，由双方人员认可。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质量保证：设备保修期限不得少于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年。</w:t>
            </w:r>
          </w:p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质保期内，自设备安装调试验收合格之日12个月 。设备在质保期内如发现质量问题及故障，卖方收到买方的函、电后，在 48 小时内及时派人到现场处理，实行三包服务，免费维修，损坏的零部件全部免费更换，设备不能维修的免费更换；不能更换的，卖方应返还买方已经支付的相应合同价款，并承担相应损失，或由买方直接在质保金中相应的扣除。紧急情况时，卖方在 24小时内到达维修现场，实行三包服务。</w:t>
            </w:r>
          </w:p>
          <w:p>
            <w:pPr>
              <w:ind w:left="1050" w:left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保期外：继续提供免费上门服务，有偿提供设备所需配件（主要配件价格按本合同“易损件清单及价格表”文件内配件清单）。如发现质量问题及故障，卖方收到买方的函、电后，在48小时内及时派人到现场处理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备品备件：提供设备所有易损件明细（包括所有的密封圈和润滑油规格），根据明细可在市场上购买。</w:t>
            </w:r>
          </w:p>
          <w:p>
            <w:pPr>
              <w:ind w:left="1155" w:leftChars="500" w:hanging="105" w:hanging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提供设备易损件一套。同时提供备件清单和备件单价。</w:t>
            </w:r>
          </w:p>
        </w:tc>
        <w:tc>
          <w:tcPr>
            <w:tcW w:w="132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bottom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GB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</w:rPr>
        <w:t>8 特殊需求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74"/>
        <w:gridCol w:w="1305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74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该设备设计制造必须满足新版GMP要求。供货方必须承诺在供货范围内不得存在导致无法满足GMP要求的缺欠；如在使用过程中发现无法满足上述规定要求的缺欠，经鉴定为设计或制造问题，供货方必须承诺对该机尽快进行免费设计改造、更换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本需求表中基本规格内容，技术数据及参考文件各大项中所提及各项要求供应方提供资料，若有任何问题应于契约制定前先通知我方，在合约上说明，否则各项列入机器到货验收时之依据。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</w:tabs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设备其余配置按厂家标准配置。以厂家提供的技术资料为准。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本URS作为合同的补充条款，作为SAT验收的依据。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运输时间包含在供货周期内，供方负责运输，并承担运输费用。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提供设备源文件。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</w:rPr>
        <w:t>.9 文件要求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82"/>
        <w:gridCol w:w="1275"/>
        <w:gridCol w:w="122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82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27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验证文件：设备设计确认（DQ）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设备工厂测试（FAT）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设备现场测试（SAT）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设备验证方案（IQ、OQ、PQ）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FS、DS、部件清单、报警清单、PID图、接线图、电气原理图、电气元件清单等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使用资料：设备使用说明书3份</w:t>
            </w:r>
          </w:p>
          <w:p>
            <w:pPr>
              <w:spacing w:line="36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设备维修手册3份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设备标准操作规程 （SOP）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设计、制造证明文件及图纸：设备装箱清单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设备合格证明书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设备电器原理图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设备安装图纸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产品质量用户使用情况反馈单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其他需要的证明文件等资料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aps/>
          <w:sz w:val="21"/>
          <w:szCs w:val="21"/>
          <w:lang w:val="en-US" w:eastAsia="zh-CN"/>
        </w:rPr>
        <w:t>4.10商务要求</w:t>
      </w:r>
    </w:p>
    <w:tbl>
      <w:tblPr>
        <w:tblStyle w:val="13"/>
        <w:tblW w:w="105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81"/>
        <w:gridCol w:w="1335"/>
        <w:gridCol w:w="12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40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编号</w:t>
            </w:r>
          </w:p>
        </w:tc>
        <w:tc>
          <w:tcPr>
            <w:tcW w:w="658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要求内容</w:t>
            </w:r>
          </w:p>
        </w:tc>
        <w:tc>
          <w:tcPr>
            <w:tcW w:w="133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23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6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合同签订预付合同总额30%即开始生产，FAT合格后，发货前付合同总额30%款，设备到达指定地点安装SAT合格后，开全款增值税发票入账，再付合同总额30%，余10%作为质保金，质保期两年。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 w:bidi="en-US"/>
              </w:rPr>
              <w:t>期待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65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合同签订即开始生产，FAT合格后，发货前付合同总额30%款，设备到达指定地点安装SAT合格后，开全款增值税发票入账、余70%款当月开始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，共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分12期支付，质保期两年。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bidi="en-US"/>
              </w:rPr>
              <w:t>必须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投标时提供同行业、同款同系列设备，近一年内合同3份，注明使用单位设备部门或使用部门联系人、联系方式。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GB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bidi="en-US"/>
              </w:rPr>
              <w:t>必须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应商对URS中的项目要求条款予以确认，有偏离的做对应的详细说明。</w:t>
      </w:r>
    </w:p>
    <w:p>
      <w:pPr>
        <w:pStyle w:val="19"/>
        <w:snapToGrid w:val="0"/>
        <w:spacing w:before="156" w:beforeLines="50" w:beforeAutospacing="0" w:after="156" w:afterLines="50" w:afterAutospacing="0"/>
        <w:ind w:left="357"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="Times New Roman" w:cs="宋体"/>
          <w:b/>
          <w:bCs/>
          <w:sz w:val="24"/>
          <w:szCs w:val="24"/>
        </w:rPr>
        <w:t>表</w:t>
      </w:r>
      <w:r>
        <w:rPr>
          <w:rFonts w:hint="eastAsia" w:ascii="Times New Roman" w:cs="Times New Roman"/>
          <w:b/>
          <w:bCs/>
          <w:sz w:val="24"/>
          <w:szCs w:val="24"/>
        </w:rPr>
        <w:t>1</w:t>
      </w:r>
      <w:r>
        <w:rPr>
          <w:rFonts w:ascii="Times New Roman" w:cs="Times New Roman"/>
          <w:b/>
          <w:bCs/>
          <w:sz w:val="24"/>
          <w:szCs w:val="24"/>
        </w:rPr>
        <w:t xml:space="preserve">  </w:t>
      </w:r>
      <w:r>
        <w:rPr>
          <w:rFonts w:ascii="宋体" w:hAnsi="宋体" w:cs="Times New Roman"/>
          <w:b/>
          <w:bCs/>
          <w:sz w:val="24"/>
          <w:szCs w:val="24"/>
        </w:rPr>
        <w:t>URS</w:t>
      </w:r>
      <w:r>
        <w:rPr>
          <w:rFonts w:hint="eastAsia" w:ascii="宋体" w:hAnsi="宋体" w:cs="宋体"/>
          <w:b/>
          <w:bCs/>
          <w:sz w:val="24"/>
          <w:szCs w:val="24"/>
        </w:rPr>
        <w:t>偏</w:t>
      </w:r>
      <w:r>
        <w:rPr>
          <w:rFonts w:hint="eastAsia" w:ascii="宋体" w:hAnsi="宋体"/>
          <w:b/>
          <w:sz w:val="24"/>
          <w:szCs w:val="24"/>
        </w:rPr>
        <w:t>离</w:t>
      </w:r>
      <w:r>
        <w:rPr>
          <w:rFonts w:hint="eastAsia" w:ascii="宋体" w:hAnsi="宋体" w:cs="宋体"/>
          <w:b/>
          <w:bCs/>
          <w:sz w:val="24"/>
          <w:szCs w:val="24"/>
        </w:rPr>
        <w:t>汇总表</w:t>
      </w:r>
    </w:p>
    <w:tbl>
      <w:tblPr>
        <w:tblStyle w:val="13"/>
        <w:tblW w:w="10563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32"/>
        <w:gridCol w:w="2340"/>
        <w:gridCol w:w="5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</w:t>
            </w: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偏</w:t>
            </w:r>
            <w:r>
              <w:rPr>
                <w:rFonts w:hint="eastAsia" w:ascii="宋体" w:hAnsi="宋体"/>
                <w:sz w:val="24"/>
                <w:szCs w:val="24"/>
              </w:rPr>
              <w:t>离</w:t>
            </w:r>
            <w:r>
              <w:rPr>
                <w:rFonts w:hint="eastAsia" w:cs="宋体"/>
                <w:sz w:val="24"/>
                <w:szCs w:val="24"/>
              </w:rPr>
              <w:t>项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偏</w:t>
            </w:r>
            <w:r>
              <w:rPr>
                <w:rFonts w:hint="eastAsia" w:ascii="宋体" w:hAnsi="宋体"/>
                <w:sz w:val="24"/>
                <w:szCs w:val="24"/>
              </w:rPr>
              <w:t>离说明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ind w:left="1" w:leftChars="-171" w:hanging="360" w:hanging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1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三、结款方式：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结算方式：电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2、各投标单位需提供售后服务相关事宜文件。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3、投标单位应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具有制药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机械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制造、维修、经营资质,注册资金100万元以上。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3.1. 投标单位一般情况表。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3.2. 法人授权委托书（加盖红章）。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3.3. 法人营业执照（复印件加盖红章）。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 4.报价单，一口价（报价单加盖红章）报价单格式附件。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标书，一正两副共三本，含技术和商务部分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、地址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：请于202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日12:00前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邮寄至黑龙江省哈尔滨市平房区渤海路39号，乌苏里江制药有限公司哈尔滨分公司 翟芯宇（收） 13199638798，未收到或未在规定时间内收到标书，视为放弃投标。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3、快递脱皮后，标书应有独立包装，包装外表面明显位置设置标识，标注设备厂家名称，项目标书、联系人、电话等信息，开标时统一开启。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、开标时间：202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日13:00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投标联系人: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翟芯宇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        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13199638798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技术答疑人：周宝双               联系电话：13936675940</w:t>
      </w:r>
    </w:p>
    <w:p>
      <w:pPr>
        <w:pStyle w:val="18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）</w:t>
      </w:r>
    </w:p>
    <w:tbl>
      <w:tblPr>
        <w:tblStyle w:val="13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URS113要求分期付款模式：</w:t>
      </w:r>
    </w:p>
    <w:p>
      <w:pPr>
        <w:spacing w:line="500" w:lineRule="exact"/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rPr>
          <w:rFonts w:hint="default" w:ascii="宋体" w:hAnsi="宋体" w:cs="宋体"/>
          <w:b/>
          <w:color w:val="000000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报价单位：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联系人：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联系电话：</w:t>
      </w:r>
    </w:p>
    <w:p>
      <w:pPr>
        <w:spacing w:line="500" w:lineRule="exact"/>
        <w:ind w:firstLine="2570" w:firstLineChars="800"/>
        <w:jc w:val="left"/>
        <w:rPr>
          <w:rFonts w:hint="eastAsia" w:ascii="宋体" w:hAnsi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0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）</w:t>
      </w:r>
    </w:p>
    <w:tbl>
      <w:tblPr>
        <w:tblStyle w:val="13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jc w:val="both"/>
        <w:rPr>
          <w:rFonts w:hint="default" w:asciiTheme="minorEastAsia" w:hAnsiTheme="minorEastAsia" w:eastAsiaTheme="minorEastAsia" w:cs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URS114要求付款模式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highlight w:val="none"/>
          <w:lang w:val="en-US" w:eastAsia="zh-CN"/>
        </w:rPr>
        <w:t>：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报价单位：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联系人：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联系电话：</w:t>
      </w:r>
    </w:p>
    <w:p>
      <w:pPr>
        <w:spacing w:line="500" w:lineRule="exact"/>
        <w:ind w:firstLine="2570" w:firstLineChars="800"/>
        <w:jc w:val="left"/>
        <w:rPr>
          <w:rFonts w:hint="eastAsia" w:ascii="宋体" w:hAnsi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B3B27"/>
    <w:multiLevelType w:val="multilevel"/>
    <w:tmpl w:val="063B3B27"/>
    <w:lvl w:ilvl="0" w:tentative="0">
      <w:start w:val="1"/>
      <w:numFmt w:val="decimalZero"/>
      <w:lvlText w:val="URS%1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774285D"/>
    <w:multiLevelType w:val="multilevel"/>
    <w:tmpl w:val="677428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11733CC"/>
    <w:rsid w:val="018D0396"/>
    <w:rsid w:val="04111487"/>
    <w:rsid w:val="04532036"/>
    <w:rsid w:val="04857662"/>
    <w:rsid w:val="06EC0CCE"/>
    <w:rsid w:val="082C148A"/>
    <w:rsid w:val="09950675"/>
    <w:rsid w:val="09B74451"/>
    <w:rsid w:val="0AB913D7"/>
    <w:rsid w:val="0ADD6A68"/>
    <w:rsid w:val="0AFA4E47"/>
    <w:rsid w:val="0AFD1DAF"/>
    <w:rsid w:val="0B95521E"/>
    <w:rsid w:val="0BD63A6E"/>
    <w:rsid w:val="0C3C77C2"/>
    <w:rsid w:val="0D800A01"/>
    <w:rsid w:val="0F872F52"/>
    <w:rsid w:val="0FC1070A"/>
    <w:rsid w:val="10103D43"/>
    <w:rsid w:val="118916FB"/>
    <w:rsid w:val="118B7221"/>
    <w:rsid w:val="120E69C5"/>
    <w:rsid w:val="121F3E0E"/>
    <w:rsid w:val="133254CE"/>
    <w:rsid w:val="14CC1ABA"/>
    <w:rsid w:val="161B4691"/>
    <w:rsid w:val="17066305"/>
    <w:rsid w:val="170D368F"/>
    <w:rsid w:val="172C2554"/>
    <w:rsid w:val="181F639E"/>
    <w:rsid w:val="19EF01DB"/>
    <w:rsid w:val="19F32613"/>
    <w:rsid w:val="1BD46C26"/>
    <w:rsid w:val="1CB94315"/>
    <w:rsid w:val="1D691647"/>
    <w:rsid w:val="1DFE1EC3"/>
    <w:rsid w:val="1E555019"/>
    <w:rsid w:val="1E7273C5"/>
    <w:rsid w:val="1E786D7F"/>
    <w:rsid w:val="1F7C50E0"/>
    <w:rsid w:val="1F874085"/>
    <w:rsid w:val="1FA111FD"/>
    <w:rsid w:val="1FDE7F6F"/>
    <w:rsid w:val="1FFB741A"/>
    <w:rsid w:val="21BC0183"/>
    <w:rsid w:val="221435F9"/>
    <w:rsid w:val="24230907"/>
    <w:rsid w:val="2432006F"/>
    <w:rsid w:val="25DF1C60"/>
    <w:rsid w:val="26EB4ACF"/>
    <w:rsid w:val="281C077C"/>
    <w:rsid w:val="29011A33"/>
    <w:rsid w:val="29BC1188"/>
    <w:rsid w:val="29CE019B"/>
    <w:rsid w:val="2A0C6E93"/>
    <w:rsid w:val="2AF220C5"/>
    <w:rsid w:val="2C124152"/>
    <w:rsid w:val="2C127B7E"/>
    <w:rsid w:val="2C5129BE"/>
    <w:rsid w:val="2C7843EE"/>
    <w:rsid w:val="2CCD473A"/>
    <w:rsid w:val="2D622954"/>
    <w:rsid w:val="2FB0122B"/>
    <w:rsid w:val="30361AC7"/>
    <w:rsid w:val="312106EF"/>
    <w:rsid w:val="31251A36"/>
    <w:rsid w:val="324C02A1"/>
    <w:rsid w:val="33344EAD"/>
    <w:rsid w:val="3341727A"/>
    <w:rsid w:val="33573387"/>
    <w:rsid w:val="341E46BE"/>
    <w:rsid w:val="344531D6"/>
    <w:rsid w:val="347D6C38"/>
    <w:rsid w:val="348C2ED8"/>
    <w:rsid w:val="356B18E7"/>
    <w:rsid w:val="367515DD"/>
    <w:rsid w:val="36F707DC"/>
    <w:rsid w:val="381141D6"/>
    <w:rsid w:val="3843297F"/>
    <w:rsid w:val="3BF168F9"/>
    <w:rsid w:val="3C674AF1"/>
    <w:rsid w:val="3C8B5574"/>
    <w:rsid w:val="3D66103F"/>
    <w:rsid w:val="3D956BAE"/>
    <w:rsid w:val="3E5B586C"/>
    <w:rsid w:val="3FFA6E29"/>
    <w:rsid w:val="3FFE1174"/>
    <w:rsid w:val="3FFF03C3"/>
    <w:rsid w:val="419F761A"/>
    <w:rsid w:val="43421586"/>
    <w:rsid w:val="447A4D50"/>
    <w:rsid w:val="451A6E30"/>
    <w:rsid w:val="452E0852"/>
    <w:rsid w:val="46380A1F"/>
    <w:rsid w:val="48A516A1"/>
    <w:rsid w:val="48E91616"/>
    <w:rsid w:val="49566427"/>
    <w:rsid w:val="49706721"/>
    <w:rsid w:val="49E4318E"/>
    <w:rsid w:val="4A367FB7"/>
    <w:rsid w:val="4ABA5EA6"/>
    <w:rsid w:val="4B5A15DC"/>
    <w:rsid w:val="4C856EE7"/>
    <w:rsid w:val="4D2B6849"/>
    <w:rsid w:val="4D2E0486"/>
    <w:rsid w:val="4F6C3615"/>
    <w:rsid w:val="507108E3"/>
    <w:rsid w:val="51F26C90"/>
    <w:rsid w:val="54A278F0"/>
    <w:rsid w:val="56625541"/>
    <w:rsid w:val="571E77BD"/>
    <w:rsid w:val="57B63E99"/>
    <w:rsid w:val="588B2C30"/>
    <w:rsid w:val="5B153D68"/>
    <w:rsid w:val="5B644079"/>
    <w:rsid w:val="5C0E6052"/>
    <w:rsid w:val="5C2F3ECA"/>
    <w:rsid w:val="5DF70395"/>
    <w:rsid w:val="60CA3C24"/>
    <w:rsid w:val="612F6608"/>
    <w:rsid w:val="61DC4E6B"/>
    <w:rsid w:val="620A560F"/>
    <w:rsid w:val="63686D0C"/>
    <w:rsid w:val="637E1A26"/>
    <w:rsid w:val="637F0F7D"/>
    <w:rsid w:val="63861DC3"/>
    <w:rsid w:val="63D319C7"/>
    <w:rsid w:val="63EC289D"/>
    <w:rsid w:val="644A1455"/>
    <w:rsid w:val="64D16B1E"/>
    <w:rsid w:val="64F658D5"/>
    <w:rsid w:val="64FA09C8"/>
    <w:rsid w:val="65CB7739"/>
    <w:rsid w:val="65E572CC"/>
    <w:rsid w:val="65EF2B8A"/>
    <w:rsid w:val="66D2217B"/>
    <w:rsid w:val="675A4DDF"/>
    <w:rsid w:val="67957627"/>
    <w:rsid w:val="68306A99"/>
    <w:rsid w:val="68624E4D"/>
    <w:rsid w:val="68673C57"/>
    <w:rsid w:val="68806828"/>
    <w:rsid w:val="688139F0"/>
    <w:rsid w:val="6A365A66"/>
    <w:rsid w:val="6A71086D"/>
    <w:rsid w:val="6B0F76F1"/>
    <w:rsid w:val="6B2F5F78"/>
    <w:rsid w:val="6B34281B"/>
    <w:rsid w:val="6BCA0C65"/>
    <w:rsid w:val="6CB467A2"/>
    <w:rsid w:val="6DA458E2"/>
    <w:rsid w:val="6DBF7236"/>
    <w:rsid w:val="7086077E"/>
    <w:rsid w:val="71FA3941"/>
    <w:rsid w:val="720F447A"/>
    <w:rsid w:val="72275320"/>
    <w:rsid w:val="72E651DB"/>
    <w:rsid w:val="7390683B"/>
    <w:rsid w:val="75E34062"/>
    <w:rsid w:val="75E71591"/>
    <w:rsid w:val="75F66E74"/>
    <w:rsid w:val="78291D08"/>
    <w:rsid w:val="7903622B"/>
    <w:rsid w:val="79270B1D"/>
    <w:rsid w:val="7C8C0A8D"/>
    <w:rsid w:val="7D3D2785"/>
    <w:rsid w:val="7E33329E"/>
    <w:rsid w:val="7F6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Block Text"/>
    <w:basedOn w:val="1"/>
    <w:autoRedefine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6">
    <w:name w:val="Date"/>
    <w:basedOn w:val="1"/>
    <w:next w:val="1"/>
    <w:autoRedefine/>
    <w:qFormat/>
    <w:uiPriority w:val="0"/>
  </w:style>
  <w:style w:type="paragraph" w:styleId="7">
    <w:name w:val="endnote text"/>
    <w:basedOn w:val="1"/>
    <w:autoRedefine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paragraph" w:customStyle="1" w:styleId="18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3">
    <w:name w:val="firme"/>
    <w:basedOn w:val="1"/>
    <w:autoRedefine/>
    <w:qFormat/>
    <w:uiPriority w:val="0"/>
    <w:pPr>
      <w:widowControl/>
      <w:snapToGrid w:val="0"/>
      <w:spacing w:line="360" w:lineRule="auto"/>
      <w:jc w:val="left"/>
    </w:pPr>
    <w:rPr>
      <w:rFonts w:ascii="Arial Narrow" w:hAnsi="Arial Narrow"/>
      <w:kern w:val="0"/>
      <w:sz w:val="24"/>
      <w:szCs w:val="21"/>
      <w:lang w:val="it-IT" w:eastAsia="it-IT"/>
    </w:rPr>
  </w:style>
  <w:style w:type="paragraph" w:customStyle="1" w:styleId="24">
    <w:name w:val="Heading Left"/>
    <w:basedOn w:val="1"/>
    <w:autoRedefine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  <w:style w:type="paragraph" w:customStyle="1" w:styleId="25">
    <w:name w:val="Table Text"/>
    <w:basedOn w:val="1"/>
    <w:autoRedefine/>
    <w:qFormat/>
    <w:uiPriority w:val="99"/>
    <w:pPr>
      <w:widowControl/>
      <w:spacing w:before="60" w:after="60"/>
      <w:jc w:val="center"/>
    </w:pPr>
    <w:rPr>
      <w:bCs/>
      <w:kern w:val="0"/>
      <w:sz w:val="24"/>
      <w:lang w:eastAsia="en-US"/>
    </w:rPr>
  </w:style>
  <w:style w:type="paragraph" w:customStyle="1" w:styleId="26">
    <w:name w:val="Text"/>
    <w:basedOn w:val="1"/>
    <w:autoRedefine/>
    <w:qFormat/>
    <w:uiPriority w:val="99"/>
    <w:pPr>
      <w:widowControl/>
      <w:spacing w:before="120"/>
    </w:pPr>
    <w:rPr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2238</Words>
  <Characters>2592</Characters>
  <Lines>4</Lines>
  <Paragraphs>1</Paragraphs>
  <TotalTime>2</TotalTime>
  <ScaleCrop>false</ScaleCrop>
  <LinksUpToDate>false</LinksUpToDate>
  <CharactersWithSpaces>2692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2024-01-29T02:37:00Z</cp:lastPrinted>
  <dcterms:modified xsi:type="dcterms:W3CDTF">2024-01-29T08:33:07Z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B479347D43CE46FE90393D3BE63D745D_13</vt:lpwstr>
  </property>
</Properties>
</file>